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SMC新款主路过滤器AMH</w:t>
      </w:r>
      <w:bookmarkStart w:id="0" w:name="_GoBack"/>
      <w:bookmarkEnd w:id="0"/>
      <w:r>
        <w:rPr>
          <w:rFonts w:hint="eastAsia" w:eastAsia="宋体"/>
          <w:sz w:val="28"/>
          <w:szCs w:val="28"/>
          <w:lang w:val="en-US" w:eastAsia="zh-CN"/>
        </w:rPr>
        <w:t>系列</w:t>
      </w:r>
    </w:p>
    <w:p>
      <w:pPr>
        <w:rPr>
          <w:rFonts w:hint="eastAsia" w:eastAsia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726555" cy="5153025"/>
            <wp:effectExtent l="0" t="0" r="1714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655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334EA"/>
    <w:rsid w:val="0D6E7BAE"/>
    <w:rsid w:val="17E334EA"/>
    <w:rsid w:val="50830B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2017-05-02T08:18:00Z</dcterms:created>
  <dc:creator>yicheng1</dc:creator>
  <cp:lastModifiedBy>yicheng1</cp:lastModifiedBy>
  <dcterms:modified xsi:type="dcterms:W3CDTF">2017-05-02T08:28:54Z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